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0F" w:rsidRPr="00F90260" w:rsidRDefault="0063053E" w:rsidP="0088140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Wykaz zawodów deficytowych</w:t>
      </w:r>
      <w:r w:rsidR="003A0569" w:rsidRPr="00F90260">
        <w:rPr>
          <w:b/>
          <w:sz w:val="28"/>
          <w:szCs w:val="26"/>
        </w:rPr>
        <w:t xml:space="preserve"> </w:t>
      </w:r>
      <w:r w:rsidR="00F90260">
        <w:rPr>
          <w:b/>
          <w:sz w:val="28"/>
          <w:szCs w:val="26"/>
        </w:rPr>
        <w:br/>
      </w:r>
      <w:r w:rsidR="003A0569" w:rsidRPr="00F90260">
        <w:rPr>
          <w:b/>
          <w:sz w:val="28"/>
          <w:szCs w:val="26"/>
        </w:rPr>
        <w:t>w powiecie mogileńskim i województwie kujawsko-pomorskim</w:t>
      </w:r>
    </w:p>
    <w:p w:rsidR="0038410F" w:rsidRPr="0038410F" w:rsidRDefault="0038410F" w:rsidP="0088140C">
      <w:pPr>
        <w:jc w:val="center"/>
        <w:rPr>
          <w:sz w:val="12"/>
          <w:szCs w:val="26"/>
          <w:u w:val="single"/>
        </w:rPr>
      </w:pPr>
    </w:p>
    <w:p w:rsidR="0088140C" w:rsidRPr="003D2670" w:rsidRDefault="0088140C" w:rsidP="0088140C">
      <w:pPr>
        <w:jc w:val="both"/>
        <w:rPr>
          <w:sz w:val="24"/>
        </w:rPr>
      </w:pPr>
      <w:r w:rsidRPr="003D2670">
        <w:rPr>
          <w:rStyle w:val="Pogrubienie"/>
          <w:sz w:val="24"/>
          <w:u w:val="single"/>
        </w:rPr>
        <w:t>Zawodowy deficytowe</w:t>
      </w:r>
      <w:r w:rsidRPr="003D2670">
        <w:rPr>
          <w:sz w:val="24"/>
        </w:rPr>
        <w:t xml:space="preserve"> są to zawody,</w:t>
      </w:r>
      <w:r w:rsidR="0038410F" w:rsidRPr="003D2670">
        <w:rPr>
          <w:sz w:val="24"/>
        </w:rPr>
        <w:t xml:space="preserve"> </w:t>
      </w:r>
      <w:r w:rsidRPr="003D2670">
        <w:rPr>
          <w:sz w:val="24"/>
        </w:rPr>
        <w:t xml:space="preserve">na które jest większe zapotrzebowanie ze strony rynku pracy </w:t>
      </w:r>
      <w:r w:rsidR="0038410F" w:rsidRPr="003D2670">
        <w:rPr>
          <w:sz w:val="24"/>
        </w:rPr>
        <w:t>w stosunku do</w:t>
      </w:r>
      <w:r w:rsidRPr="003D2670">
        <w:rPr>
          <w:sz w:val="24"/>
        </w:rPr>
        <w:t> liczby</w:t>
      </w:r>
      <w:r w:rsidR="0038410F" w:rsidRPr="003D2670">
        <w:rPr>
          <w:sz w:val="24"/>
        </w:rPr>
        <w:t> osób</w:t>
      </w:r>
      <w:r w:rsidRPr="003D2670">
        <w:rPr>
          <w:sz w:val="24"/>
        </w:rPr>
        <w:t xml:space="preserve"> poszukujących pracy w danym zawodzie.</w:t>
      </w:r>
    </w:p>
    <w:p w:rsidR="00D86ABA" w:rsidRPr="003D2670" w:rsidRDefault="00D86ABA" w:rsidP="0088140C">
      <w:pPr>
        <w:jc w:val="both"/>
      </w:pPr>
      <w:r w:rsidRPr="003D2670">
        <w:t xml:space="preserve">W ramach priorytetu „Wsparcie zawodowego kształcenia ustawicznego w zidentyfikowanych </w:t>
      </w:r>
      <w:r w:rsidR="003D2670">
        <w:br/>
      </w:r>
      <w:r w:rsidRPr="003D2670">
        <w:t xml:space="preserve">w danym powiecie lub województwie zawodach deficytowych” </w:t>
      </w:r>
      <w:r w:rsidR="0088140C" w:rsidRPr="003D2670">
        <w:t xml:space="preserve">wsparcie udzielane będzie </w:t>
      </w:r>
      <w:r w:rsidR="003D2670">
        <w:br/>
      </w:r>
      <w:r w:rsidR="0088140C" w:rsidRPr="003D2670">
        <w:t xml:space="preserve">w następujących zawodach deficytowych określonych w </w:t>
      </w:r>
      <w:r w:rsidR="0088140C" w:rsidRPr="003D2670">
        <w:rPr>
          <w:i/>
        </w:rPr>
        <w:t>Barometrze zawodów 2017</w:t>
      </w:r>
      <w:r w:rsidR="0088140C" w:rsidRPr="003D2670">
        <w:t xml:space="preserve"> dla powiatu mogileńskiego i województwa kujawsko-pomorskiego, </w:t>
      </w:r>
      <w:r w:rsidR="003D2670">
        <w:rPr>
          <w:rFonts w:eastAsia="Times New Roman" w:cs="Arial"/>
          <w:i/>
          <w:lang w:eastAsia="pl-PL"/>
        </w:rPr>
        <w:t>Informacji</w:t>
      </w:r>
      <w:r w:rsidR="003D2670" w:rsidRPr="0088140C">
        <w:rPr>
          <w:rFonts w:eastAsia="Times New Roman" w:cs="Arial"/>
          <w:i/>
          <w:lang w:eastAsia="pl-PL"/>
        </w:rPr>
        <w:t xml:space="preserve"> </w:t>
      </w:r>
      <w:r w:rsidR="003D2670" w:rsidRPr="0088140C">
        <w:rPr>
          <w:rFonts w:eastAsia="Times New Roman" w:cs="Arial"/>
          <w:i/>
          <w:szCs w:val="24"/>
          <w:lang w:eastAsia="pl-PL"/>
        </w:rPr>
        <w:t>sygnaln</w:t>
      </w:r>
      <w:r w:rsidR="003D2670">
        <w:rPr>
          <w:rFonts w:eastAsia="Times New Roman" w:cs="Arial"/>
          <w:i/>
          <w:szCs w:val="24"/>
          <w:lang w:eastAsia="pl-PL"/>
        </w:rPr>
        <w:t>ej</w:t>
      </w:r>
      <w:r w:rsidR="003D2670" w:rsidRPr="0088140C">
        <w:rPr>
          <w:rFonts w:eastAsia="Times New Roman" w:cs="Arial"/>
          <w:i/>
          <w:szCs w:val="24"/>
          <w:lang w:eastAsia="pl-PL"/>
        </w:rPr>
        <w:t xml:space="preserve"> z monitoringu zawodów deficytowych i </w:t>
      </w:r>
      <w:r w:rsidR="003D2670" w:rsidRPr="00F60AFF">
        <w:rPr>
          <w:rFonts w:eastAsia="Times New Roman" w:cs="Arial"/>
          <w:i/>
          <w:szCs w:val="24"/>
          <w:lang w:eastAsia="pl-PL"/>
        </w:rPr>
        <w:t>n</w:t>
      </w:r>
      <w:r w:rsidR="003D2670" w:rsidRPr="0088140C">
        <w:rPr>
          <w:rFonts w:eastAsia="Times New Roman" w:cs="Arial"/>
          <w:i/>
          <w:szCs w:val="24"/>
          <w:lang w:eastAsia="pl-PL"/>
        </w:rPr>
        <w:t xml:space="preserve">adwyżkowych </w:t>
      </w:r>
      <w:r w:rsidR="003D2670" w:rsidRPr="00F60AFF">
        <w:rPr>
          <w:rFonts w:eastAsia="Times New Roman" w:cs="Arial"/>
          <w:i/>
          <w:szCs w:val="24"/>
          <w:lang w:eastAsia="pl-PL"/>
        </w:rPr>
        <w:t xml:space="preserve">w </w:t>
      </w:r>
      <w:r w:rsidR="003D2670" w:rsidRPr="0088140C">
        <w:rPr>
          <w:rFonts w:eastAsia="Times New Roman" w:cs="Arial"/>
          <w:i/>
          <w:szCs w:val="24"/>
          <w:lang w:eastAsia="pl-PL"/>
        </w:rPr>
        <w:t xml:space="preserve">województwie kujawsko-pomorskim w I półroczu </w:t>
      </w:r>
      <w:r w:rsidR="003D2670" w:rsidRPr="0088140C">
        <w:rPr>
          <w:rFonts w:eastAsia="Times New Roman" w:cs="Arial"/>
          <w:i/>
          <w:lang w:eastAsia="pl-PL"/>
        </w:rPr>
        <w:t>2016 r.</w:t>
      </w:r>
      <w:r w:rsidR="00EC1935">
        <w:rPr>
          <w:rFonts w:eastAsia="Times New Roman" w:cs="Arial"/>
          <w:lang w:eastAsia="pl-PL"/>
        </w:rPr>
        <w:t xml:space="preserve"> oraz</w:t>
      </w:r>
      <w:r w:rsidR="008F3947">
        <w:rPr>
          <w:rFonts w:eastAsia="Times New Roman" w:cs="Arial"/>
          <w:lang w:eastAsia="pl-PL"/>
        </w:rPr>
        <w:t xml:space="preserve"> </w:t>
      </w:r>
      <w:r w:rsidR="008F3947" w:rsidRPr="003D2670">
        <w:rPr>
          <w:i/>
        </w:rPr>
        <w:t>I</w:t>
      </w:r>
      <w:r w:rsidR="008F3947" w:rsidRPr="003D2670">
        <w:rPr>
          <w:rStyle w:val="Pogrubienie"/>
          <w:b w:val="0"/>
          <w:i/>
        </w:rPr>
        <w:t>nformacji sygnalnej o zawodach deficytowych i nadwyżkowych w powiecie mogileńskim za I półrocze 2016 roku</w:t>
      </w:r>
      <w:r w:rsidR="008F3947">
        <w:rPr>
          <w:rStyle w:val="Pogrubienie"/>
          <w:b w:val="0"/>
          <w:i/>
        </w:rPr>
        <w:t>.</w:t>
      </w:r>
    </w:p>
    <w:p w:rsidR="000467A3" w:rsidRPr="00702A5E" w:rsidRDefault="000467A3" w:rsidP="00702A5E">
      <w:pPr>
        <w:spacing w:after="0"/>
        <w:ind w:left="-425"/>
        <w:rPr>
          <w:sz w:val="6"/>
        </w:rPr>
      </w:pPr>
      <w:r w:rsidRPr="00702A5E">
        <w:rPr>
          <w:noProof/>
          <w:sz w:val="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-247002</wp:posOffset>
            </wp:positionH>
            <wp:positionV relativeFrom="paragraph">
              <wp:posOffset>3024</wp:posOffset>
            </wp:positionV>
            <wp:extent cx="6434800" cy="2996697"/>
            <wp:effectExtent l="19050" t="0" r="4100" b="0"/>
            <wp:wrapTopAndBottom/>
            <wp:docPr id="1" name="Obraz 1" descr="C:\Documents and Settings\oem\Moje dokumenty\dokumenty\KFS\2017\barometr_wojewodztw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em\Moje dokumenty\dokumenty\KFS\2017\barometr_wojewodztw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800" cy="299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67A3" w:rsidRPr="00FD0B11" w:rsidRDefault="0072710C" w:rsidP="00702A5E">
      <w:pPr>
        <w:tabs>
          <w:tab w:val="left" w:pos="284"/>
        </w:tabs>
        <w:spacing w:after="120" w:line="240" w:lineRule="auto"/>
        <w:ind w:left="284"/>
        <w:rPr>
          <w:sz w:val="20"/>
        </w:rPr>
      </w:pPr>
      <w:r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384175</wp:posOffset>
            </wp:positionV>
            <wp:extent cx="6725285" cy="2263140"/>
            <wp:effectExtent l="19050" t="0" r="0" b="0"/>
            <wp:wrapTight wrapText="bothSides">
              <wp:wrapPolygon edited="0">
                <wp:start x="-61" y="0"/>
                <wp:lineTo x="-61" y="21455"/>
                <wp:lineTo x="21598" y="21455"/>
                <wp:lineTo x="21598" y="0"/>
                <wp:lineTo x="-61" y="0"/>
              </wp:wrapPolygon>
            </wp:wrapTight>
            <wp:docPr id="2" name="Obraz 2" descr="C:\Documents and Settings\oem\Moje dokumenty\dokumenty\KFS\2017\barometr_powia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em\Moje dokumenty\dokumenty\KFS\2017\barometr_powiat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285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8F4" w:rsidRPr="00FD0B11">
        <w:rPr>
          <w:sz w:val="20"/>
        </w:rPr>
        <w:t xml:space="preserve">Źródło: </w:t>
      </w:r>
      <w:r w:rsidR="008E48F4" w:rsidRPr="00FD0B11">
        <w:rPr>
          <w:i/>
          <w:sz w:val="20"/>
        </w:rPr>
        <w:t xml:space="preserve">Barometr zawodów 2017. </w:t>
      </w:r>
      <w:r w:rsidR="008E48F4" w:rsidRPr="00FD0B11">
        <w:rPr>
          <w:rFonts w:cs="TradeGothicLTCom"/>
          <w:i/>
          <w:sz w:val="20"/>
        </w:rPr>
        <w:t>Raport podsumowujący badanie w województwie kujawsko-pomorskim</w:t>
      </w:r>
      <w:r w:rsidR="008E48F4" w:rsidRPr="00FD0B11">
        <w:rPr>
          <w:i/>
          <w:sz w:val="20"/>
        </w:rPr>
        <w:t>,</w:t>
      </w:r>
      <w:r w:rsidR="008E48F4" w:rsidRPr="00FD0B11">
        <w:rPr>
          <w:sz w:val="20"/>
        </w:rPr>
        <w:t xml:space="preserve"> dostępny na stronie </w:t>
      </w:r>
      <w:r w:rsidR="008E48F4" w:rsidRPr="00266455">
        <w:rPr>
          <w:i/>
          <w:sz w:val="20"/>
        </w:rPr>
        <w:t xml:space="preserve">internetowej: </w:t>
      </w:r>
      <w:hyperlink r:id="rId6" w:history="1">
        <w:r w:rsidR="00EC1935" w:rsidRPr="000772B1">
          <w:rPr>
            <w:rStyle w:val="Hipercze"/>
            <w:i/>
            <w:sz w:val="20"/>
          </w:rPr>
          <w:t>www.</w:t>
        </w:r>
        <w:r w:rsidR="00EC1935" w:rsidRPr="000772B1">
          <w:rPr>
            <w:rStyle w:val="Hipercze"/>
            <w:b/>
            <w:bCs/>
            <w:i/>
            <w:sz w:val="20"/>
          </w:rPr>
          <w:t>barometrzawodow</w:t>
        </w:r>
        <w:r w:rsidR="00EC1935" w:rsidRPr="000772B1">
          <w:rPr>
            <w:rStyle w:val="Hipercze"/>
            <w:i/>
            <w:sz w:val="20"/>
          </w:rPr>
          <w:t>.pl</w:t>
        </w:r>
      </w:hyperlink>
      <w:r w:rsidR="00266455">
        <w:rPr>
          <w:rStyle w:val="HTML-cytat"/>
          <w:sz w:val="20"/>
        </w:rPr>
        <w:t xml:space="preserve"> </w:t>
      </w:r>
    </w:p>
    <w:p w:rsidR="008E48F4" w:rsidRPr="00FD0B11" w:rsidRDefault="008E48F4" w:rsidP="00702A5E">
      <w:pPr>
        <w:tabs>
          <w:tab w:val="left" w:pos="284"/>
        </w:tabs>
        <w:ind w:left="284"/>
        <w:rPr>
          <w:sz w:val="20"/>
        </w:rPr>
      </w:pPr>
      <w:r w:rsidRPr="00FD0B11">
        <w:rPr>
          <w:sz w:val="20"/>
        </w:rPr>
        <w:t xml:space="preserve">Źródło: </w:t>
      </w:r>
      <w:r w:rsidRPr="00FD0B11">
        <w:rPr>
          <w:i/>
          <w:sz w:val="20"/>
        </w:rPr>
        <w:t xml:space="preserve">Barometr zawodów 2017. </w:t>
      </w:r>
      <w:r w:rsidRPr="00FD0B11">
        <w:rPr>
          <w:rFonts w:cs="TradeGothicLTCom"/>
          <w:i/>
          <w:sz w:val="20"/>
        </w:rPr>
        <w:t>Raport podsumowujący badanie w województwie kujawsko-pomorskim</w:t>
      </w:r>
      <w:r w:rsidRPr="00FD0B11">
        <w:rPr>
          <w:i/>
          <w:sz w:val="20"/>
        </w:rPr>
        <w:t>,</w:t>
      </w:r>
      <w:r w:rsidRPr="00FD0B11">
        <w:rPr>
          <w:sz w:val="20"/>
        </w:rPr>
        <w:t xml:space="preserve"> dostępny na stronie internetowej: </w:t>
      </w:r>
      <w:hyperlink r:id="rId7" w:history="1">
        <w:r w:rsidR="00EC1935" w:rsidRPr="000772B1">
          <w:rPr>
            <w:rStyle w:val="Hipercze"/>
            <w:sz w:val="20"/>
          </w:rPr>
          <w:t>www.</w:t>
        </w:r>
        <w:r w:rsidR="00EC1935" w:rsidRPr="000772B1">
          <w:rPr>
            <w:rStyle w:val="Hipercze"/>
            <w:b/>
            <w:bCs/>
            <w:sz w:val="20"/>
          </w:rPr>
          <w:t>barometrzawodow</w:t>
        </w:r>
        <w:r w:rsidR="00EC1935" w:rsidRPr="000772B1">
          <w:rPr>
            <w:rStyle w:val="Hipercze"/>
            <w:sz w:val="20"/>
          </w:rPr>
          <w:t>.pl</w:t>
        </w:r>
      </w:hyperlink>
      <w:r w:rsidR="00266455">
        <w:rPr>
          <w:rStyle w:val="HTML-cytat"/>
          <w:sz w:val="20"/>
        </w:rPr>
        <w:t xml:space="preserve"> </w:t>
      </w:r>
    </w:p>
    <w:p w:rsidR="008E48F4" w:rsidRDefault="008E48F4"/>
    <w:p w:rsidR="0088140C" w:rsidRPr="00702A5E" w:rsidRDefault="00DB17C8" w:rsidP="00702A5E">
      <w:pPr>
        <w:spacing w:after="0"/>
        <w:ind w:left="-567" w:right="-567"/>
        <w:rPr>
          <w:rStyle w:val="Pogrubienie"/>
          <w:b w:val="0"/>
          <w:i/>
          <w:sz w:val="6"/>
        </w:rPr>
      </w:pPr>
      <w:r>
        <w:rPr>
          <w:bCs/>
          <w:i/>
          <w:noProof/>
          <w:sz w:val="24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-337537</wp:posOffset>
            </wp:positionH>
            <wp:positionV relativeFrom="paragraph">
              <wp:posOffset>2458</wp:posOffset>
            </wp:positionV>
            <wp:extent cx="6309322" cy="2661719"/>
            <wp:effectExtent l="19050" t="0" r="0" b="0"/>
            <wp:wrapTopAndBottom/>
            <wp:docPr id="6" name="Obraz 6" descr="C:\Documents and Settings\oem\Moje dokumenty\dokumenty\KFS\2017\sygnalna_wojewodztw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oem\Moje dokumenty\dokumenty\KFS\2017\sygnalna_wojewodztw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22" cy="266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17C8">
        <w:rPr>
          <w:bCs/>
          <w:i/>
          <w:noProof/>
          <w:sz w:val="24"/>
          <w:lang w:eastAsia="pl-PL"/>
        </w:rPr>
        <w:t xml:space="preserve"> </w:t>
      </w:r>
    </w:p>
    <w:p w:rsidR="0088140C" w:rsidRPr="0088140C" w:rsidRDefault="00F60AFF" w:rsidP="0021262D">
      <w:pPr>
        <w:spacing w:after="0" w:line="240" w:lineRule="auto"/>
        <w:ind w:left="-142"/>
        <w:jc w:val="both"/>
        <w:rPr>
          <w:rFonts w:eastAsia="Times New Roman" w:cs="Arial"/>
          <w:szCs w:val="24"/>
          <w:lang w:eastAsia="pl-PL"/>
        </w:rPr>
      </w:pPr>
      <w:r w:rsidRPr="00FD0B11">
        <w:rPr>
          <w:rFonts w:eastAsia="Times New Roman" w:cs="Arial"/>
          <w:sz w:val="20"/>
          <w:lang w:eastAsia="pl-PL"/>
        </w:rPr>
        <w:t xml:space="preserve">Źródło: </w:t>
      </w:r>
      <w:r w:rsidR="0088140C" w:rsidRPr="0088140C">
        <w:rPr>
          <w:rFonts w:eastAsia="Times New Roman" w:cs="Arial"/>
          <w:i/>
          <w:sz w:val="20"/>
          <w:lang w:eastAsia="pl-PL"/>
        </w:rPr>
        <w:t xml:space="preserve">Informacja </w:t>
      </w:r>
      <w:r w:rsidR="0088140C" w:rsidRPr="0088140C">
        <w:rPr>
          <w:rFonts w:eastAsia="Times New Roman" w:cs="Arial"/>
          <w:i/>
          <w:sz w:val="20"/>
          <w:szCs w:val="24"/>
          <w:lang w:eastAsia="pl-PL"/>
        </w:rPr>
        <w:t xml:space="preserve">sygnalna z monitoringu zawodów deficytowych i </w:t>
      </w:r>
      <w:r w:rsidR="0088140C" w:rsidRPr="00FD0B11">
        <w:rPr>
          <w:rFonts w:eastAsia="Times New Roman" w:cs="Arial"/>
          <w:i/>
          <w:sz w:val="20"/>
          <w:szCs w:val="24"/>
          <w:lang w:eastAsia="pl-PL"/>
        </w:rPr>
        <w:t>n</w:t>
      </w:r>
      <w:r w:rsidR="0088140C" w:rsidRPr="0088140C">
        <w:rPr>
          <w:rFonts w:eastAsia="Times New Roman" w:cs="Arial"/>
          <w:i/>
          <w:sz w:val="20"/>
          <w:szCs w:val="24"/>
          <w:lang w:eastAsia="pl-PL"/>
        </w:rPr>
        <w:t xml:space="preserve">adwyżkowych </w:t>
      </w:r>
      <w:r w:rsidR="0088140C" w:rsidRPr="00FD0B11">
        <w:rPr>
          <w:rFonts w:eastAsia="Times New Roman" w:cs="Arial"/>
          <w:i/>
          <w:sz w:val="20"/>
          <w:szCs w:val="24"/>
          <w:lang w:eastAsia="pl-PL"/>
        </w:rPr>
        <w:t xml:space="preserve">w </w:t>
      </w:r>
      <w:r w:rsidR="0088140C" w:rsidRPr="0088140C">
        <w:rPr>
          <w:rFonts w:eastAsia="Times New Roman" w:cs="Arial"/>
          <w:i/>
          <w:sz w:val="20"/>
          <w:szCs w:val="24"/>
          <w:lang w:eastAsia="pl-PL"/>
        </w:rPr>
        <w:t xml:space="preserve">województwie kujawsko-pomorskim w I półroczu </w:t>
      </w:r>
      <w:r w:rsidR="0088140C" w:rsidRPr="0088140C">
        <w:rPr>
          <w:rFonts w:eastAsia="Times New Roman" w:cs="Arial"/>
          <w:i/>
          <w:sz w:val="20"/>
          <w:lang w:eastAsia="pl-PL"/>
        </w:rPr>
        <w:t>2016 r.</w:t>
      </w:r>
      <w:r w:rsidRPr="00FD0B11">
        <w:rPr>
          <w:rFonts w:eastAsia="Times New Roman" w:cs="Arial"/>
          <w:sz w:val="20"/>
          <w:lang w:eastAsia="pl-PL"/>
        </w:rPr>
        <w:t xml:space="preserve">, dostępna na stronie </w:t>
      </w:r>
      <w:hyperlink r:id="rId9" w:history="1">
        <w:r w:rsidR="00C139D9" w:rsidRPr="00FD0B11">
          <w:rPr>
            <w:rStyle w:val="Hipercze"/>
            <w:rFonts w:eastAsia="Times New Roman" w:cs="Arial"/>
            <w:sz w:val="20"/>
            <w:lang w:eastAsia="pl-PL"/>
          </w:rPr>
          <w:t>www.wup.torun.pl</w:t>
        </w:r>
      </w:hyperlink>
      <w:r w:rsidRPr="00FD0B11">
        <w:rPr>
          <w:rFonts w:eastAsia="Times New Roman" w:cs="Arial"/>
          <w:sz w:val="20"/>
          <w:lang w:eastAsia="pl-PL"/>
        </w:rPr>
        <w:t xml:space="preserve"> </w:t>
      </w:r>
    </w:p>
    <w:p w:rsidR="0088140C" w:rsidRDefault="0088140C"/>
    <w:p w:rsidR="00F60AFF" w:rsidRDefault="00E867F6" w:rsidP="00F60AFF">
      <w:pPr>
        <w:spacing w:after="0"/>
        <w:jc w:val="center"/>
        <w:rPr>
          <w:rStyle w:val="Pogrubienie"/>
        </w:rPr>
      </w:pPr>
      <w:r>
        <w:rPr>
          <w:rStyle w:val="Pogrubienie"/>
        </w:rPr>
        <w:t>I</w:t>
      </w:r>
      <w:r w:rsidR="00F60AFF">
        <w:rPr>
          <w:rStyle w:val="Pogrubienie"/>
        </w:rPr>
        <w:t>NFORMACJA SYGNALNA O ZAWODACH DEFICYTOWYCH I NADWYŻKOWYCH</w:t>
      </w:r>
      <w:r w:rsidR="00EC1935">
        <w:t xml:space="preserve"> </w:t>
      </w:r>
      <w:r w:rsidR="009E12A2">
        <w:br/>
      </w:r>
      <w:r w:rsidR="00F60AFF">
        <w:rPr>
          <w:rStyle w:val="Pogrubienie"/>
        </w:rPr>
        <w:t>W POWIECIE MOGILEŃSKIM</w:t>
      </w:r>
    </w:p>
    <w:p w:rsidR="00F60AFF" w:rsidRPr="00F60AFF" w:rsidRDefault="00F60AFF" w:rsidP="00F60AFF">
      <w:pPr>
        <w:jc w:val="center"/>
        <w:rPr>
          <w:b/>
          <w:bCs/>
        </w:rPr>
      </w:pPr>
      <w:r>
        <w:rPr>
          <w:rStyle w:val="Pogrubienie"/>
        </w:rPr>
        <w:t>I PÓŁROCZE 2016</w:t>
      </w:r>
    </w:p>
    <w:tbl>
      <w:tblPr>
        <w:tblW w:w="9782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3"/>
        <w:gridCol w:w="1751"/>
        <w:gridCol w:w="6828"/>
      </w:tblGrid>
      <w:tr w:rsidR="00F60AFF" w:rsidRPr="00F60AFF" w:rsidTr="00AF12BD">
        <w:trPr>
          <w:trHeight w:val="428"/>
          <w:tblCellSpacing w:w="0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926C9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Sekcja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926C9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Zaklasyfikowanie</w:t>
            </w: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926C9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Grupa elementarna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926C9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17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Cs w:val="24"/>
                <w:lang w:eastAsia="pl-PL"/>
              </w:rPr>
              <w:t>zawód maksymalnie deficytowy</w:t>
            </w: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Robotnicy robót stanu surowego i pokrewni gdzie indziej niesklasyfikowani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Lekarze weterynarii bez specjalizacji lub w trakcie specjalizacji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Monterzy izolacji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Robotnicy wykonujący prace proste przy uprawie roślin i hodowli zwierząt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Operatorzy urządzeń do spalania odpadów, uzdatniania wody i pokrewni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Archiwiści i muzealnicy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Operatorzy urządzeń do produkcji wyrobów szklanych i ceramicznych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Farmaceuci specjaliści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Szlifierze narzędzi i polerowacze metali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Specjaliści do spraw sprzedaży (z wyłączeniem technologii informacyjno-komunikacyjnych)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Kierownicy do spraw logistyki i dziedzin pokrewnych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Operatorzy urządzeń wiertniczych i wydobywczych ropy, gazu i innych surowców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Opiekunowie dziecięcy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Pracownicy bibliotek, galerii, muzeów, informacji naukowej i pokrewni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Średni personel w zakresie działalności artystycznej i kulturalnej gdzie indziej niesklasyfikowany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Cs w:val="24"/>
                <w:lang w:eastAsia="pl-PL"/>
              </w:rPr>
              <w:t>zawód deficytowy</w:t>
            </w: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Operatorzy maszyn do szycia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Tapicerzy i pokrewni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Operatorzy sieci i systemów komputerowych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Spawacze i pokrewni</w:t>
            </w:r>
          </w:p>
        </w:tc>
      </w:tr>
      <w:tr w:rsidR="00F60AFF" w:rsidRPr="00F60AFF" w:rsidTr="00AF12BD">
        <w:trPr>
          <w:trHeight w:val="285"/>
          <w:tblCellSpacing w:w="0" w:type="dxa"/>
        </w:trPr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6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0AFF" w:rsidRPr="00F60AFF" w:rsidRDefault="00F60AFF" w:rsidP="00F60AF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  <w:r w:rsidRPr="00F60AFF">
              <w:rPr>
                <w:rFonts w:eastAsia="Times New Roman" w:cs="Times New Roman"/>
                <w:sz w:val="20"/>
                <w:szCs w:val="24"/>
                <w:lang w:eastAsia="pl-PL"/>
              </w:rPr>
              <w:t>Psycholodzy i pokrewni</w:t>
            </w:r>
          </w:p>
        </w:tc>
      </w:tr>
    </w:tbl>
    <w:p w:rsidR="00F4758C" w:rsidRPr="00702A5E" w:rsidRDefault="00F4758C" w:rsidP="00702A5E">
      <w:pPr>
        <w:spacing w:after="0"/>
        <w:jc w:val="both"/>
        <w:rPr>
          <w:i/>
          <w:sz w:val="6"/>
        </w:rPr>
      </w:pPr>
    </w:p>
    <w:p w:rsidR="00F60AFF" w:rsidRPr="00FD0B11" w:rsidRDefault="00F60AFF" w:rsidP="00702A5E">
      <w:pPr>
        <w:ind w:left="-284"/>
        <w:jc w:val="both"/>
        <w:rPr>
          <w:sz w:val="20"/>
        </w:rPr>
      </w:pPr>
      <w:r w:rsidRPr="00FD0B11">
        <w:rPr>
          <w:sz w:val="20"/>
        </w:rPr>
        <w:t>Źródło:</w:t>
      </w:r>
      <w:r w:rsidRPr="00FD0B11">
        <w:rPr>
          <w:i/>
          <w:sz w:val="20"/>
        </w:rPr>
        <w:t xml:space="preserve"> I</w:t>
      </w:r>
      <w:r w:rsidRPr="00FD0B11">
        <w:rPr>
          <w:rStyle w:val="Pogrubienie"/>
          <w:b w:val="0"/>
          <w:i/>
          <w:sz w:val="20"/>
        </w:rPr>
        <w:t xml:space="preserve">nformacja sygnalna o zawodach deficytowych i nadwyżkowych w powiecie mogileńskim za I półrocze 2016 roku, </w:t>
      </w:r>
      <w:r w:rsidRPr="00FD0B11">
        <w:rPr>
          <w:rStyle w:val="Pogrubienie"/>
          <w:b w:val="0"/>
          <w:sz w:val="20"/>
        </w:rPr>
        <w:t xml:space="preserve">dostępna na stronie </w:t>
      </w:r>
      <w:hyperlink r:id="rId10" w:history="1">
        <w:r w:rsidR="00FD0B11" w:rsidRPr="00FD0B11">
          <w:rPr>
            <w:rStyle w:val="Hipercze"/>
            <w:sz w:val="20"/>
          </w:rPr>
          <w:t>http://mogilno.praca.gov.pl</w:t>
        </w:r>
      </w:hyperlink>
      <w:r w:rsidR="00FD0B11" w:rsidRPr="00FD0B11">
        <w:rPr>
          <w:rStyle w:val="Pogrubienie"/>
          <w:b w:val="0"/>
          <w:sz w:val="20"/>
        </w:rPr>
        <w:t xml:space="preserve"> </w:t>
      </w:r>
    </w:p>
    <w:sectPr w:rsidR="00F60AFF" w:rsidRPr="00FD0B11" w:rsidSect="00F4758C">
      <w:type w:val="oddPage"/>
      <w:pgSz w:w="11906" w:h="16838" w:code="9"/>
      <w:pgMar w:top="709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adeGothicLTCom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3A0569"/>
    <w:rsid w:val="000467A3"/>
    <w:rsid w:val="00057519"/>
    <w:rsid w:val="000D3238"/>
    <w:rsid w:val="0011407E"/>
    <w:rsid w:val="001C53CD"/>
    <w:rsid w:val="001C767E"/>
    <w:rsid w:val="0021262D"/>
    <w:rsid w:val="002160F5"/>
    <w:rsid w:val="00266455"/>
    <w:rsid w:val="0038410F"/>
    <w:rsid w:val="003926C9"/>
    <w:rsid w:val="003A0569"/>
    <w:rsid w:val="003D2670"/>
    <w:rsid w:val="00426C31"/>
    <w:rsid w:val="00474C6A"/>
    <w:rsid w:val="0053373D"/>
    <w:rsid w:val="0054262D"/>
    <w:rsid w:val="0063053E"/>
    <w:rsid w:val="006B53A0"/>
    <w:rsid w:val="00702A5E"/>
    <w:rsid w:val="0072710C"/>
    <w:rsid w:val="00795A5E"/>
    <w:rsid w:val="007E53EF"/>
    <w:rsid w:val="0088140C"/>
    <w:rsid w:val="008C350F"/>
    <w:rsid w:val="008E48F4"/>
    <w:rsid w:val="008F3947"/>
    <w:rsid w:val="009101B4"/>
    <w:rsid w:val="00934D5A"/>
    <w:rsid w:val="009E12A2"/>
    <w:rsid w:val="00A16B30"/>
    <w:rsid w:val="00A5367A"/>
    <w:rsid w:val="00AF12BD"/>
    <w:rsid w:val="00C139D9"/>
    <w:rsid w:val="00D86ABA"/>
    <w:rsid w:val="00DB17C8"/>
    <w:rsid w:val="00E867F6"/>
    <w:rsid w:val="00EC1935"/>
    <w:rsid w:val="00F4758C"/>
    <w:rsid w:val="00F60AFF"/>
    <w:rsid w:val="00F90260"/>
    <w:rsid w:val="00FD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7A3"/>
    <w:rPr>
      <w:rFonts w:ascii="Tahoma" w:hAnsi="Tahoma" w:cs="Tahoma"/>
      <w:sz w:val="16"/>
      <w:szCs w:val="16"/>
    </w:rPr>
  </w:style>
  <w:style w:type="character" w:styleId="HTML-cytat">
    <w:name w:val="HTML Cite"/>
    <w:basedOn w:val="Domylnaczcionkaakapitu"/>
    <w:uiPriority w:val="99"/>
    <w:semiHidden/>
    <w:unhideWhenUsed/>
    <w:rsid w:val="008E48F4"/>
    <w:rPr>
      <w:i/>
      <w:iCs/>
    </w:rPr>
  </w:style>
  <w:style w:type="character" w:styleId="Pogrubienie">
    <w:name w:val="Strong"/>
    <w:basedOn w:val="Domylnaczcionkaakapitu"/>
    <w:uiPriority w:val="22"/>
    <w:qFormat/>
    <w:rsid w:val="0088140C"/>
    <w:rPr>
      <w:b/>
      <w:bCs/>
    </w:rPr>
  </w:style>
  <w:style w:type="character" w:styleId="Hipercze">
    <w:name w:val="Hyperlink"/>
    <w:basedOn w:val="Domylnaczcionkaakapitu"/>
    <w:uiPriority w:val="99"/>
    <w:unhideWhenUsed/>
    <w:rsid w:val="00F60A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0B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barometrzawodow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ometrzawodow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mogilno.praca.gov.p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wup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31</cp:revision>
  <cp:lastPrinted>2017-01-09T09:38:00Z</cp:lastPrinted>
  <dcterms:created xsi:type="dcterms:W3CDTF">2017-01-09T08:19:00Z</dcterms:created>
  <dcterms:modified xsi:type="dcterms:W3CDTF">2017-01-10T06:47:00Z</dcterms:modified>
</cp:coreProperties>
</file>